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4F0FDC">
        <w:rPr>
          <w:rFonts w:ascii="Times New Roman" w:hAnsi="Times New Roman"/>
          <w:sz w:val="24"/>
        </w:rPr>
        <w:t>12046</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32151">
        <w:rPr>
          <w:rFonts w:ascii="Arial" w:hAnsi="Arial" w:cs="Arial"/>
          <w:sz w:val="24"/>
          <w:lang w:val="en-US" w:eastAsia="zh-CN"/>
        </w:rPr>
        <w:t>CSSF scaling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A570A">
        <w:rPr>
          <w:rFonts w:ascii="Arial" w:hAnsi="Arial" w:cs="Arial"/>
          <w:sz w:val="24"/>
          <w:lang w:val="en-US" w:eastAsia="zh-CN"/>
        </w:rPr>
        <w:t>8.1.4.13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DE0401" w:rsidRDefault="00032151" w:rsidP="0065502B">
      <w:r>
        <w:t>In this paper we further discuss the scaling factor CSSF</w:t>
      </w:r>
      <w:r w:rsidRPr="00032151">
        <w:rPr>
          <w:vertAlign w:val="subscript"/>
        </w:rPr>
        <w:t>within_gap</w:t>
      </w:r>
      <w:r w:rsidR="0010414F">
        <w:rPr>
          <w:vertAlign w:val="subscript"/>
        </w:rPr>
        <w:t>,i</w:t>
      </w:r>
      <w:r w:rsidRPr="00032151">
        <w:rPr>
          <w:vertAlign w:val="subscript"/>
        </w:rPr>
        <w:t xml:space="preserve"> </w:t>
      </w:r>
      <w:r>
        <w:t>for NR-U</w:t>
      </w:r>
      <w:r w:rsidR="0010414F">
        <w:t>. In RAN4#92 it was agreed :</w:t>
      </w:r>
    </w:p>
    <w:p w:rsidR="0010414F" w:rsidRPr="0010414F" w:rsidRDefault="0010414F" w:rsidP="0065502B">
      <w:pPr>
        <w:rPr>
          <w:i/>
        </w:rPr>
      </w:pPr>
      <w:r w:rsidRPr="0010414F">
        <w:rPr>
          <w:i/>
          <w:lang w:val="en-US"/>
        </w:rPr>
        <w:t>CSSF</w:t>
      </w:r>
      <w:r w:rsidRPr="0010414F">
        <w:rPr>
          <w:i/>
          <w:vertAlign w:val="subscript"/>
          <w:lang w:val="en-US"/>
        </w:rPr>
        <w:t>within_gap,i</w:t>
      </w:r>
      <w:r w:rsidRPr="0010414F">
        <w:rPr>
          <w:i/>
          <w:lang w:val="en-US"/>
        </w:rPr>
        <w:t xml:space="preserve"> definition can be reused, both for DRS gap based measurements, and to account for the impact of DRS gap based measurements to other measurements. DMTC period in the definition is to be used instead of SMTC period.</w:t>
      </w:r>
    </w:p>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10414F" w:rsidP="006B6666">
      <w:r>
        <w:rPr>
          <w:lang w:val="en-US" w:eastAsia="zh-CN"/>
        </w:rPr>
        <w:t xml:space="preserve">Although DMTC is informally used as a discussion terminology for the measurement time configuration (window) when the UE needs to search and measure NR-U SSB, our understanding is that in other WG from a specification point of view SMTC will be reused, since the SMTC is already an up to 5ms window in which measurements are expected to be performed. With this understanding, there should be no need to modify the </w:t>
      </w:r>
      <w:r>
        <w:t>CSSF</w:t>
      </w:r>
      <w:r w:rsidRPr="00032151">
        <w:rPr>
          <w:vertAlign w:val="subscript"/>
        </w:rPr>
        <w:t>within_gap</w:t>
      </w:r>
      <w:r>
        <w:rPr>
          <w:vertAlign w:val="subscript"/>
        </w:rPr>
        <w:t>,</w:t>
      </w:r>
      <w:r w:rsidR="00EA570A">
        <w:rPr>
          <w:vertAlign w:val="subscript"/>
        </w:rPr>
        <w:t>i</w:t>
      </w:r>
      <w:r>
        <w:t xml:space="preserve"> definition for NR-U, other than to clarify that the scope of the existing definition covers measurements on both licensed and NR-U frequencies.</w:t>
      </w:r>
    </w:p>
    <w:p w:rsidR="00BC3922" w:rsidRDefault="0010414F" w:rsidP="006B6666">
      <w:r>
        <w:t>Since there is a different way for determining QCL relationships between SS blocks in different SS bursts for licenced and NR-U measurements, a UE measuring licensed and/or NR-U frequencies in gaps needs to be aware of which type of carrier it is measuring but this does not impact the measurement “effort” performed. The UE is not aware before it attempts to measure an NR-U carrier whether or not LBT is performed by the gNB in the upcoming gap.</w:t>
      </w:r>
    </w:p>
    <w:p w:rsidR="0010414F" w:rsidRDefault="0010414F" w:rsidP="006B6666">
      <w:r>
        <w:t xml:space="preserve">Hence, according to the agreement in RAN4#92 and the further understanding that SMTC will be used </w:t>
      </w:r>
      <w:r w:rsidR="00D203D2">
        <w:t>in specifications to cover the NR-U SSB measurement window, we propose</w:t>
      </w:r>
    </w:p>
    <w:p w:rsidR="00D203D2" w:rsidRDefault="00D203D2" w:rsidP="006B6666">
      <w:pPr>
        <w:rPr>
          <w:b/>
          <w:lang w:val="en-US"/>
        </w:rPr>
      </w:pPr>
      <w:r w:rsidRPr="00D203D2">
        <w:rPr>
          <w:b/>
        </w:rPr>
        <w:t xml:space="preserve">Proposal 1 : The </w:t>
      </w:r>
      <w:r w:rsidRPr="0010414F">
        <w:rPr>
          <w:b/>
          <w:lang w:val="en-US"/>
        </w:rPr>
        <w:t>CSSF</w:t>
      </w:r>
      <w:r w:rsidRPr="0010414F">
        <w:rPr>
          <w:b/>
          <w:vertAlign w:val="subscript"/>
          <w:lang w:val="en-US"/>
        </w:rPr>
        <w:t>within_gap</w:t>
      </w:r>
      <w:r w:rsidRPr="00D203D2">
        <w:rPr>
          <w:b/>
          <w:vertAlign w:val="subscript"/>
          <w:lang w:val="en-US"/>
        </w:rPr>
        <w:t>,i</w:t>
      </w:r>
      <w:r w:rsidRPr="00D203D2">
        <w:rPr>
          <w:b/>
          <w:lang w:val="en-US"/>
        </w:rPr>
        <w:t xml:space="preserve"> specification in 38.133 does not need to be updated for NR-U other than to clarify that the existing definition of CSSF applies to frequencies where CCA is performed as well as frequencies where CCA is not performed.</w:t>
      </w:r>
    </w:p>
    <w:p w:rsidR="00D203D2" w:rsidRPr="00D203D2" w:rsidRDefault="00D203D2" w:rsidP="006B6666">
      <w:pPr>
        <w:rPr>
          <w:lang w:val="en-US" w:eastAsia="zh-CN"/>
        </w:rPr>
      </w:pPr>
      <w:r w:rsidRPr="00D203D2">
        <w:rPr>
          <w:lang w:val="en-US"/>
        </w:rPr>
        <w:t>Naturally this proposal would be revisited if other WG use a different terminology than SMTC for the NR-U SSB measurement window</w:t>
      </w:r>
    </w:p>
    <w:p w:rsidR="006B6666" w:rsidRDefault="006B6666" w:rsidP="006B6666">
      <w:pPr>
        <w:pStyle w:val="Heading1"/>
        <w:jc w:val="both"/>
        <w:rPr>
          <w:rFonts w:eastAsia="SimSun"/>
          <w:lang w:val="en-US" w:eastAsia="zh-CN"/>
        </w:rPr>
      </w:pPr>
      <w:r>
        <w:rPr>
          <w:rFonts w:eastAsia="SimSun"/>
          <w:lang w:val="en-US" w:eastAsia="zh-CN"/>
        </w:rPr>
        <w:t>Conclusions</w:t>
      </w:r>
    </w:p>
    <w:p w:rsidR="00D203D2" w:rsidRDefault="00D203D2" w:rsidP="00D203D2">
      <w:r w:rsidRPr="00D203D2">
        <w:rPr>
          <w:lang w:val="en-US" w:eastAsia="zh-CN"/>
        </w:rPr>
        <w:t>In this paper</w:t>
      </w:r>
      <w:r>
        <w:rPr>
          <w:lang w:val="en-US" w:eastAsia="zh-CN"/>
        </w:rPr>
        <w:t xml:space="preserve">, we discuss </w:t>
      </w:r>
      <w:r>
        <w:t>the scaling factor CSSF</w:t>
      </w:r>
      <w:r w:rsidRPr="00032151">
        <w:rPr>
          <w:vertAlign w:val="subscript"/>
        </w:rPr>
        <w:t>within_gap</w:t>
      </w:r>
      <w:r>
        <w:rPr>
          <w:vertAlign w:val="subscript"/>
        </w:rPr>
        <w:t>,i</w:t>
      </w:r>
      <w:r w:rsidRPr="00032151">
        <w:rPr>
          <w:vertAlign w:val="subscript"/>
        </w:rPr>
        <w:t xml:space="preserve"> </w:t>
      </w:r>
      <w:r>
        <w:t>for NR-U. Noting previous RAN4  agreements and also the further understanding that SMTC will be used in specifications to cover the NR-U SSB measurement window, we propose</w:t>
      </w:r>
    </w:p>
    <w:p w:rsidR="00D203D2" w:rsidRDefault="00D203D2" w:rsidP="00D203D2">
      <w:pPr>
        <w:rPr>
          <w:b/>
          <w:lang w:val="en-US"/>
        </w:rPr>
      </w:pPr>
      <w:r w:rsidRPr="00D203D2">
        <w:rPr>
          <w:b/>
        </w:rPr>
        <w:t xml:space="preserve">Proposal 1 : The </w:t>
      </w:r>
      <w:r w:rsidRPr="0010414F">
        <w:rPr>
          <w:b/>
          <w:lang w:val="en-US"/>
        </w:rPr>
        <w:t>CSSF</w:t>
      </w:r>
      <w:r w:rsidRPr="0010414F">
        <w:rPr>
          <w:b/>
          <w:vertAlign w:val="subscript"/>
          <w:lang w:val="en-US"/>
        </w:rPr>
        <w:t>within_gap</w:t>
      </w:r>
      <w:r w:rsidRPr="00D203D2">
        <w:rPr>
          <w:b/>
          <w:vertAlign w:val="subscript"/>
          <w:lang w:val="en-US"/>
        </w:rPr>
        <w:t>,i</w:t>
      </w:r>
      <w:r w:rsidRPr="00D203D2">
        <w:rPr>
          <w:b/>
          <w:lang w:val="en-US"/>
        </w:rPr>
        <w:t xml:space="preserve"> specification in 38.133 does not need to be updated for NR-U other than to clarify that the existing definition of CSSF applies to frequencies where CCA is performed as well as frequencies where CCA is not performed.</w:t>
      </w:r>
    </w:p>
    <w:p w:rsidR="00D203D2" w:rsidRDefault="00D203D2" w:rsidP="00367330">
      <w:pPr>
        <w:rPr>
          <w:lang w:val="en-US" w:eastAsia="zh-CN"/>
        </w:rPr>
      </w:pPr>
    </w:p>
    <w:p w:rsidR="00367330" w:rsidRPr="00D203D2" w:rsidRDefault="00D203D2" w:rsidP="00367330">
      <w:pPr>
        <w:rPr>
          <w:lang w:val="en-US" w:eastAsia="zh-CN"/>
        </w:rPr>
      </w:pPr>
      <w:r w:rsidRPr="00D203D2">
        <w:rPr>
          <w:lang w:val="en-US" w:eastAsia="zh-CN"/>
        </w:rPr>
        <w:t xml:space="preserve"> </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Pr="00032151" w:rsidRDefault="00032151" w:rsidP="00744D1E">
      <w:pPr>
        <w:pStyle w:val="3GPPNormalText"/>
        <w:numPr>
          <w:ilvl w:val="0"/>
          <w:numId w:val="5"/>
        </w:numPr>
        <w:rPr>
          <w:szCs w:val="20"/>
          <w:lang w:eastAsia="zh-CN"/>
        </w:rPr>
      </w:pPr>
      <w:r w:rsidRPr="00032151">
        <w:rPr>
          <w:szCs w:val="20"/>
          <w:lang w:eastAsia="zh-CN"/>
        </w:rPr>
        <w:t>R4-1910551</w:t>
      </w:r>
      <w:r w:rsidRPr="00032151">
        <w:rPr>
          <w:szCs w:val="20"/>
          <w:lang w:eastAsia="zh-CN"/>
        </w:rPr>
        <w:tab/>
        <w:t>WF on RRM requirements for NR-U, Ericsson, Qualcomm Inc., Nokia, Nokia Shanghai Bell</w:t>
      </w:r>
    </w:p>
    <w:sectPr w:rsidR="003F08E6" w:rsidRPr="00032151"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812" w:rsidRDefault="00074812">
      <w:r>
        <w:separator/>
      </w:r>
    </w:p>
  </w:endnote>
  <w:endnote w:type="continuationSeparator" w:id="0">
    <w:p w:rsidR="00074812" w:rsidRDefault="0007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812" w:rsidRDefault="00074812">
      <w:r>
        <w:separator/>
      </w:r>
    </w:p>
  </w:footnote>
  <w:footnote w:type="continuationSeparator" w:id="0">
    <w:p w:rsidR="00074812" w:rsidRDefault="00074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6"/>
  </w:num>
  <w:num w:numId="2">
    <w:abstractNumId w:val="33"/>
  </w:num>
  <w:num w:numId="3">
    <w:abstractNumId w:val="35"/>
  </w:num>
  <w:num w:numId="4">
    <w:abstractNumId w:val="10"/>
  </w:num>
  <w:num w:numId="5">
    <w:abstractNumId w:val="13"/>
  </w:num>
  <w:num w:numId="6">
    <w:abstractNumId w:val="29"/>
  </w:num>
  <w:num w:numId="7">
    <w:abstractNumId w:val="11"/>
  </w:num>
  <w:num w:numId="8">
    <w:abstractNumId w:val="23"/>
  </w:num>
  <w:num w:numId="9">
    <w:abstractNumId w:val="14"/>
  </w:num>
  <w:num w:numId="10">
    <w:abstractNumId w:val="15"/>
  </w:num>
  <w:num w:numId="11">
    <w:abstractNumId w:val="7"/>
  </w:num>
  <w:num w:numId="12">
    <w:abstractNumId w:val="20"/>
  </w:num>
  <w:num w:numId="13">
    <w:abstractNumId w:val="0"/>
  </w:num>
  <w:num w:numId="14">
    <w:abstractNumId w:val="1"/>
  </w:num>
  <w:num w:numId="15">
    <w:abstractNumId w:val="34"/>
  </w:num>
  <w:num w:numId="16">
    <w:abstractNumId w:val="21"/>
  </w:num>
  <w:num w:numId="17">
    <w:abstractNumId w:val="22"/>
  </w:num>
  <w:num w:numId="18">
    <w:abstractNumId w:val="9"/>
  </w:num>
  <w:num w:numId="19">
    <w:abstractNumId w:val="25"/>
  </w:num>
  <w:num w:numId="20">
    <w:abstractNumId w:val="27"/>
  </w:num>
  <w:num w:numId="21">
    <w:abstractNumId w:val="6"/>
  </w:num>
  <w:num w:numId="22">
    <w:abstractNumId w:val="31"/>
  </w:num>
  <w:num w:numId="23">
    <w:abstractNumId w:val="3"/>
  </w:num>
  <w:num w:numId="24">
    <w:abstractNumId w:val="24"/>
  </w:num>
  <w:num w:numId="25">
    <w:abstractNumId w:val="8"/>
  </w:num>
  <w:num w:numId="26">
    <w:abstractNumId w:val="26"/>
  </w:num>
  <w:num w:numId="27">
    <w:abstractNumId w:val="18"/>
  </w:num>
  <w:num w:numId="28">
    <w:abstractNumId w:val="19"/>
  </w:num>
  <w:num w:numId="29">
    <w:abstractNumId w:val="32"/>
  </w:num>
  <w:num w:numId="30">
    <w:abstractNumId w:val="28"/>
  </w:num>
  <w:num w:numId="31">
    <w:abstractNumId w:val="30"/>
  </w:num>
  <w:num w:numId="32">
    <w:abstractNumId w:val="12"/>
  </w:num>
  <w:num w:numId="33">
    <w:abstractNumId w:val="17"/>
  </w:num>
  <w:num w:numId="34">
    <w:abstractNumId w:val="2"/>
  </w:num>
  <w:num w:numId="35">
    <w:abstractNumId w:val="4"/>
  </w:num>
  <w:num w:numId="3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151"/>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4812"/>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4F"/>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5D11"/>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0FDC"/>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23E"/>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6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D1E"/>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64E"/>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3D2"/>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70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17118B"/>
  <w15:chartTrackingRefBased/>
  <w15:docId w15:val="{BA3F3A06-7905-4049-8132-18BA4F89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78674039">
      <w:bodyDiv w:val="1"/>
      <w:marLeft w:val="0"/>
      <w:marRight w:val="0"/>
      <w:marTop w:val="0"/>
      <w:marBottom w:val="0"/>
      <w:divBdr>
        <w:top w:val="none" w:sz="0" w:space="0" w:color="auto"/>
        <w:left w:val="none" w:sz="0" w:space="0" w:color="auto"/>
        <w:bottom w:val="none" w:sz="0" w:space="0" w:color="auto"/>
        <w:right w:val="none" w:sz="0" w:space="0" w:color="auto"/>
      </w:divBdr>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E7DB2E-B51A-4DC7-A23C-88E478304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2019-10-03T10:04:00Z</dcterms:created>
  <dcterms:modified xsi:type="dcterms:W3CDTF">2019-10-04T14:36:00Z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